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6664C" w14:textId="6138595A" w:rsidR="002C2CA7" w:rsidRPr="002F6E3A" w:rsidRDefault="002C2CA7" w:rsidP="005D5A7B">
      <w:pPr>
        <w:spacing w:before="36" w:line="276" w:lineRule="auto"/>
        <w:ind w:left="20"/>
        <w:rPr>
          <w:rFonts w:ascii="AvenirNext LT Pro Regular" w:hAnsi="AvenirNext LT Pro Regular" w:cs="Times New Roman"/>
          <w:bCs/>
          <w:w w:val="95"/>
          <w:sz w:val="28"/>
          <w:szCs w:val="28"/>
          <w:lang w:val="es-CL"/>
        </w:rPr>
      </w:pPr>
      <w:r w:rsidRPr="002F6E3A">
        <w:rPr>
          <w:rFonts w:ascii="AvenirNext LT Pro Bold" w:hAnsi="AvenirNext LT Pro Bold" w:cs="Times New Roman"/>
          <w:b/>
          <w:color w:val="00A3E0"/>
          <w:w w:val="95"/>
          <w:sz w:val="28"/>
          <w:szCs w:val="28"/>
          <w:lang w:val="es-CL"/>
        </w:rPr>
        <w:t xml:space="preserve">Comisión para el Mercado </w:t>
      </w:r>
      <w:r w:rsidR="004E2CB7" w:rsidRPr="002F6E3A">
        <w:rPr>
          <w:rFonts w:ascii="AvenirNext LT Pro Bold" w:hAnsi="AvenirNext LT Pro Bold" w:cs="Times New Roman"/>
          <w:b/>
          <w:color w:val="00A3E0"/>
          <w:w w:val="95"/>
          <w:sz w:val="28"/>
          <w:szCs w:val="28"/>
          <w:lang w:val="es-CL"/>
        </w:rPr>
        <w:t xml:space="preserve">Financiero </w:t>
      </w:r>
      <w:r w:rsidR="0072632D" w:rsidRPr="002F6E3A">
        <w:rPr>
          <w:rFonts w:ascii="AvenirNext LT Pro Bold" w:hAnsi="AvenirNext LT Pro Bold" w:cs="Times New Roman"/>
          <w:b/>
          <w:color w:val="00A3E0"/>
          <w:w w:val="95"/>
          <w:sz w:val="28"/>
          <w:szCs w:val="28"/>
          <w:lang w:val="es-CL"/>
        </w:rPr>
        <w:t>emite dos nuevas normas en materia de hechos esenciales y reservados y de canales de comunicación con la CMF</w:t>
      </w:r>
      <w:r w:rsidR="00005A90" w:rsidRPr="002F6E3A">
        <w:rPr>
          <w:rFonts w:ascii="AvenirNext LT Pro Regular" w:hAnsi="AvenirNext LT Pro Regular" w:cs="Times New Roman"/>
          <w:bCs/>
          <w:w w:val="95"/>
          <w:sz w:val="28"/>
          <w:szCs w:val="28"/>
          <w:lang w:val="es-CL"/>
        </w:rPr>
        <w:t xml:space="preserve"> </w:t>
      </w:r>
      <w:r w:rsidR="005D5A7B" w:rsidRPr="002F6E3A">
        <w:rPr>
          <w:rFonts w:ascii="AvenirNext LT Pro Regular" w:hAnsi="AvenirNext LT Pro Regular" w:cs="Times New Roman"/>
          <w:b/>
          <w:color w:val="45B0E1" w:themeColor="accent1" w:themeTint="99"/>
          <w:w w:val="95"/>
          <w:sz w:val="28"/>
          <w:szCs w:val="28"/>
          <w:lang w:val="es-CL"/>
        </w:rPr>
        <w:t>___________________________________________________________________</w:t>
      </w:r>
    </w:p>
    <w:p w14:paraId="15933D88" w14:textId="5B6E9A8A" w:rsidR="00AF528D" w:rsidRPr="002F6E3A" w:rsidRDefault="0072632D" w:rsidP="00C37ED0">
      <w:pPr>
        <w:spacing w:line="276" w:lineRule="auto"/>
        <w:jc w:val="both"/>
        <w:rPr>
          <w:rFonts w:ascii="AvenirNext LT Pro Regular" w:hAnsi="AvenirNext LT Pro Regular" w:cs="Times New Roman"/>
          <w:lang w:val="es-CL"/>
        </w:rPr>
      </w:pPr>
      <w:r w:rsidRPr="002F6E3A">
        <w:rPr>
          <w:rFonts w:ascii="AvenirNext LT Pro Regular" w:hAnsi="AvenirNext LT Pro Regular" w:cs="Times New Roman"/>
          <w:lang w:val="es-CL"/>
        </w:rPr>
        <w:t xml:space="preserve">El pasado 25 de julio la </w:t>
      </w:r>
      <w:r w:rsidR="00AF528D" w:rsidRPr="002F6E3A">
        <w:rPr>
          <w:rFonts w:ascii="AvenirNext LT Pro Regular" w:hAnsi="AvenirNext LT Pro Regular" w:cs="Times New Roman"/>
          <w:lang w:val="es-CL"/>
        </w:rPr>
        <w:t>Comisión para el Mercado Financiero (“</w:t>
      </w:r>
      <w:r w:rsidR="00AF528D" w:rsidRPr="002F6E3A">
        <w:rPr>
          <w:rFonts w:ascii="AvenirNext LT Pro Regular" w:hAnsi="AvenirNext LT Pro Regular" w:cs="Times New Roman"/>
          <w:b/>
          <w:bCs/>
          <w:lang w:val="es-CL"/>
        </w:rPr>
        <w:t>CMF</w:t>
      </w:r>
      <w:r w:rsidR="00AF528D" w:rsidRPr="002F6E3A">
        <w:rPr>
          <w:rFonts w:ascii="AvenirNext LT Pro Regular" w:hAnsi="AvenirNext LT Pro Regular" w:cs="Times New Roman"/>
          <w:lang w:val="es-CL"/>
        </w:rPr>
        <w:t xml:space="preserve">”) </w:t>
      </w:r>
      <w:r w:rsidR="001F199B" w:rsidRPr="002F6E3A">
        <w:rPr>
          <w:rFonts w:ascii="AvenirNext LT Pro Regular" w:hAnsi="AvenirNext LT Pro Regular" w:cs="Times New Roman"/>
          <w:lang w:val="es-CL"/>
        </w:rPr>
        <w:t>publicó</w:t>
      </w:r>
      <w:r w:rsidR="00BA0A6B" w:rsidRPr="002F6E3A">
        <w:rPr>
          <w:rFonts w:ascii="AvenirNext LT Pro Regular" w:hAnsi="AvenirNext LT Pro Regular" w:cs="Times New Roman"/>
          <w:lang w:val="es-CL"/>
        </w:rPr>
        <w:t xml:space="preserve"> </w:t>
      </w:r>
      <w:r w:rsidR="00E9131B" w:rsidRPr="002F6E3A">
        <w:rPr>
          <w:rFonts w:ascii="AvenirNext LT Pro Regular" w:hAnsi="AvenirNext LT Pro Regular" w:cs="Times New Roman"/>
          <w:lang w:val="es-CL"/>
        </w:rPr>
        <w:t>dos nuevas normas. Se trata de la</w:t>
      </w:r>
      <w:r w:rsidR="001A76D2" w:rsidRPr="002F6E3A">
        <w:rPr>
          <w:rFonts w:ascii="AvenirNext LT Pro Regular" w:hAnsi="AvenirNext LT Pro Regular" w:cs="Times New Roman"/>
          <w:lang w:val="es-CL"/>
        </w:rPr>
        <w:t xml:space="preserve"> </w:t>
      </w:r>
      <w:r w:rsidR="00E9131B" w:rsidRPr="002F6E3A">
        <w:rPr>
          <w:rFonts w:ascii="AvenirNext LT Pro Regular" w:hAnsi="AvenirNext LT Pro Regular" w:cs="Times New Roman"/>
          <w:lang w:val="es-CL"/>
        </w:rPr>
        <w:t>Norma de Carácter General N°515 (“</w:t>
      </w:r>
      <w:r w:rsidR="00E9131B" w:rsidRPr="002F6E3A">
        <w:rPr>
          <w:rFonts w:ascii="AvenirNext LT Pro Regular" w:hAnsi="AvenirNext LT Pro Regular" w:cs="Times New Roman"/>
          <w:b/>
          <w:bCs/>
          <w:lang w:val="es-CL"/>
        </w:rPr>
        <w:t>NCG 515</w:t>
      </w:r>
      <w:r w:rsidR="00E9131B" w:rsidRPr="002F6E3A">
        <w:rPr>
          <w:rFonts w:ascii="AvenirNext LT Pro Regular" w:hAnsi="AvenirNext LT Pro Regular" w:cs="Times New Roman"/>
          <w:lang w:val="es-CL"/>
        </w:rPr>
        <w:t>”), que establece un nuevo canal de comunicación entre los fiscalizados y la CMF</w:t>
      </w:r>
      <w:r w:rsidRPr="002F6E3A">
        <w:rPr>
          <w:rFonts w:ascii="AvenirNext LT Pro Regular" w:hAnsi="AvenirNext LT Pro Regular" w:cs="Times New Roman"/>
          <w:lang w:val="es-CL"/>
        </w:rPr>
        <w:t xml:space="preserve"> y la Norma de Carácter General </w:t>
      </w:r>
      <w:proofErr w:type="spellStart"/>
      <w:r w:rsidRPr="002F6E3A">
        <w:rPr>
          <w:rFonts w:ascii="AvenirNext LT Pro Regular" w:hAnsi="AvenirNext LT Pro Regular" w:cs="Times New Roman"/>
          <w:lang w:val="es-CL"/>
        </w:rPr>
        <w:t>N°</w:t>
      </w:r>
      <w:proofErr w:type="spellEnd"/>
      <w:r w:rsidRPr="002F6E3A">
        <w:rPr>
          <w:rFonts w:ascii="AvenirNext LT Pro Regular" w:hAnsi="AvenirNext LT Pro Regular" w:cs="Times New Roman"/>
          <w:lang w:val="es-CL"/>
        </w:rPr>
        <w:t xml:space="preserve"> 516 (“</w:t>
      </w:r>
      <w:r w:rsidRPr="002F6E3A">
        <w:rPr>
          <w:rFonts w:ascii="AvenirNext LT Pro Regular" w:hAnsi="AvenirNext LT Pro Regular" w:cs="Times New Roman"/>
          <w:b/>
          <w:bCs/>
          <w:lang w:val="es-CL"/>
        </w:rPr>
        <w:t>NCG 516</w:t>
      </w:r>
      <w:r w:rsidRPr="002F6E3A">
        <w:rPr>
          <w:rFonts w:ascii="AvenirNext LT Pro Regular" w:hAnsi="AvenirNext LT Pro Regular" w:cs="Times New Roman"/>
          <w:lang w:val="es-CL"/>
        </w:rPr>
        <w:t>”), que establece criterios comunes para comunicar hechos esenciales y reservados</w:t>
      </w:r>
      <w:r w:rsidR="00E9131B" w:rsidRPr="002F6E3A">
        <w:rPr>
          <w:rFonts w:ascii="AvenirNext LT Pro Regular" w:hAnsi="AvenirNext LT Pro Regular" w:cs="Times New Roman"/>
          <w:lang w:val="es-CL"/>
        </w:rPr>
        <w:t>.</w:t>
      </w:r>
    </w:p>
    <w:p w14:paraId="271FF900" w14:textId="195290E9" w:rsidR="0072632D" w:rsidRPr="002F6E3A" w:rsidRDefault="0072632D" w:rsidP="005D5A7B">
      <w:pPr>
        <w:pStyle w:val="Default"/>
        <w:spacing w:line="276" w:lineRule="auto"/>
        <w:jc w:val="both"/>
        <w:rPr>
          <w:rFonts w:ascii="AvenirNext LT Pro Regular" w:hAnsi="AvenirNext LT Pro Regular" w:cs="Times New Roman"/>
          <w:sz w:val="22"/>
          <w:szCs w:val="22"/>
          <w:lang w:val="es-CL"/>
        </w:rPr>
      </w:pPr>
      <w:r w:rsidRPr="002F6E3A">
        <w:rPr>
          <w:rFonts w:ascii="AvenirNext LT Pro Regular" w:hAnsi="AvenirNext LT Pro Regular" w:cs="Times New Roman"/>
          <w:sz w:val="22"/>
          <w:szCs w:val="22"/>
          <w:lang w:val="es-CL"/>
        </w:rPr>
        <w:t xml:space="preserve">A través de la NCG 515, la CMF implementará un canal único de comunicación y de envío de información para sus fiscalizados denominado </w:t>
      </w:r>
      <w:r w:rsidRPr="002F6E3A">
        <w:rPr>
          <w:rFonts w:ascii="AvenirNext LT Pro Regular" w:hAnsi="AvenirNext LT Pro Regular" w:cs="Times New Roman"/>
          <w:b/>
          <w:bCs/>
          <w:sz w:val="22"/>
          <w:szCs w:val="22"/>
          <w:lang w:val="es-CL"/>
        </w:rPr>
        <w:t>CMF Supervisa</w:t>
      </w:r>
      <w:r w:rsidRPr="002F6E3A">
        <w:rPr>
          <w:rFonts w:ascii="AvenirNext LT Pro Regular" w:hAnsi="AvenirNext LT Pro Regular" w:cs="Times New Roman"/>
          <w:sz w:val="22"/>
          <w:szCs w:val="22"/>
          <w:lang w:val="es-CL"/>
        </w:rPr>
        <w:t>, el que reemplazará el SEIL</w:t>
      </w:r>
      <w:r w:rsidR="00CF4C6D" w:rsidRPr="002F6E3A">
        <w:rPr>
          <w:rFonts w:ascii="AvenirNext LT Pro Regular" w:hAnsi="AvenirNext LT Pro Regular" w:cs="Times New Roman"/>
          <w:sz w:val="22"/>
          <w:szCs w:val="22"/>
          <w:lang w:val="es-CL"/>
        </w:rPr>
        <w:t>, CMF Sin Papel</w:t>
      </w:r>
      <w:r w:rsidRPr="002F6E3A">
        <w:rPr>
          <w:rFonts w:ascii="AvenirNext LT Pro Regular" w:hAnsi="AvenirNext LT Pro Regular" w:cs="Times New Roman"/>
          <w:sz w:val="22"/>
          <w:szCs w:val="22"/>
          <w:lang w:val="es-CL"/>
        </w:rPr>
        <w:t xml:space="preserve"> y </w:t>
      </w:r>
      <w:r w:rsidR="00CF4C6D" w:rsidRPr="002F6E3A">
        <w:rPr>
          <w:rFonts w:ascii="AvenirNext LT Pro Regular" w:hAnsi="AvenirNext LT Pro Regular" w:cs="Times New Roman"/>
          <w:sz w:val="22"/>
          <w:szCs w:val="22"/>
          <w:lang w:val="es-CL"/>
        </w:rPr>
        <w:t xml:space="preserve">el canal </w:t>
      </w:r>
      <w:r w:rsidRPr="002F6E3A">
        <w:rPr>
          <w:rFonts w:ascii="AvenirNext LT Pro Regular" w:hAnsi="AvenirNext LT Pro Regular" w:cs="Times New Roman"/>
          <w:sz w:val="22"/>
          <w:szCs w:val="22"/>
          <w:lang w:val="es-CL"/>
        </w:rPr>
        <w:t>Extranet, a contar del 1 de mayo de 2025.</w:t>
      </w:r>
      <w:r w:rsidR="002056DD" w:rsidRPr="002F6E3A">
        <w:rPr>
          <w:rFonts w:ascii="AvenirNext LT Pro Regular" w:hAnsi="AvenirNext LT Pro Regular" w:cs="Times New Roman"/>
          <w:sz w:val="22"/>
          <w:szCs w:val="22"/>
          <w:lang w:val="es-CL"/>
        </w:rPr>
        <w:t xml:space="preserve"> La nueva normativa también agrega la obligación de mantener actualizada por las entidades fiscalizadas una casilla de correo electrónica para efectos de notificaciones</w:t>
      </w:r>
      <w:r w:rsidR="00CF4C6D" w:rsidRPr="002F6E3A">
        <w:rPr>
          <w:rFonts w:ascii="AvenirNext LT Pro Regular" w:hAnsi="AvenirNext LT Pro Regular" w:cs="Times New Roman"/>
          <w:sz w:val="22"/>
          <w:szCs w:val="22"/>
          <w:lang w:val="es-CL"/>
        </w:rPr>
        <w:t xml:space="preserve"> </w:t>
      </w:r>
      <w:r w:rsidR="002056DD" w:rsidRPr="002F6E3A">
        <w:rPr>
          <w:rFonts w:ascii="AvenirNext LT Pro Regular" w:hAnsi="AvenirNext LT Pro Regular" w:cs="Times New Roman"/>
          <w:sz w:val="22"/>
          <w:szCs w:val="22"/>
          <w:lang w:val="es-CL"/>
        </w:rPr>
        <w:t>y de la información de identificación que haya sido proporcionada a la CMF para efectos de obtener la autorización de existencia o de inscripción, según corresponda</w:t>
      </w:r>
      <w:r w:rsidR="00CF4C6D" w:rsidRPr="002F6E3A">
        <w:rPr>
          <w:rFonts w:ascii="AvenirNext LT Pro Regular" w:hAnsi="AvenirNext LT Pro Regular" w:cs="Times New Roman"/>
          <w:sz w:val="22"/>
          <w:szCs w:val="22"/>
          <w:lang w:val="es-CL"/>
        </w:rPr>
        <w:t>, actualizaciones que deberán realizarse a más tardar el 30 de mayo de 2025</w:t>
      </w:r>
      <w:r w:rsidR="002056DD" w:rsidRPr="002F6E3A">
        <w:rPr>
          <w:rFonts w:ascii="AvenirNext LT Pro Regular" w:hAnsi="AvenirNext LT Pro Regular" w:cs="Times New Roman"/>
          <w:sz w:val="22"/>
          <w:szCs w:val="22"/>
          <w:lang w:val="es-CL"/>
        </w:rPr>
        <w:t>.</w:t>
      </w:r>
    </w:p>
    <w:p w14:paraId="560DABAC" w14:textId="77777777" w:rsidR="0072632D" w:rsidRPr="002F6E3A" w:rsidRDefault="0072632D" w:rsidP="005D5A7B">
      <w:pPr>
        <w:pStyle w:val="Default"/>
        <w:spacing w:line="276" w:lineRule="auto"/>
        <w:jc w:val="both"/>
        <w:rPr>
          <w:rFonts w:ascii="AvenirNext LT Pro Regular" w:hAnsi="AvenirNext LT Pro Regular" w:cs="Times New Roman"/>
          <w:sz w:val="22"/>
          <w:szCs w:val="22"/>
          <w:lang w:val="es-CL"/>
        </w:rPr>
      </w:pPr>
    </w:p>
    <w:p w14:paraId="136AD5A5" w14:textId="14001B8A" w:rsidR="005D5A7B" w:rsidRPr="002F6E3A" w:rsidRDefault="005D5A7B" w:rsidP="005D5A7B">
      <w:pPr>
        <w:pStyle w:val="Default"/>
        <w:spacing w:line="276" w:lineRule="auto"/>
        <w:jc w:val="both"/>
        <w:rPr>
          <w:rFonts w:ascii="AvenirNext LT Pro Regular" w:hAnsi="AvenirNext LT Pro Regular" w:cs="Times New Roman"/>
          <w:sz w:val="22"/>
          <w:szCs w:val="22"/>
          <w:lang w:val="es-CL"/>
        </w:rPr>
      </w:pPr>
      <w:r w:rsidRPr="002F6E3A">
        <w:rPr>
          <w:rFonts w:ascii="AvenirNext LT Pro Regular" w:hAnsi="AvenirNext LT Pro Regular" w:cs="Times New Roman"/>
          <w:sz w:val="22"/>
          <w:szCs w:val="22"/>
          <w:lang w:val="es-CL"/>
        </w:rPr>
        <w:t>La</w:t>
      </w:r>
      <w:r w:rsidR="00E9131B" w:rsidRPr="002F6E3A">
        <w:rPr>
          <w:rFonts w:ascii="AvenirNext LT Pro Regular" w:hAnsi="AvenirNext LT Pro Regular" w:cs="Times New Roman"/>
          <w:sz w:val="22"/>
          <w:szCs w:val="22"/>
          <w:lang w:val="es-CL"/>
        </w:rPr>
        <w:t xml:space="preserve"> NCG 516</w:t>
      </w:r>
      <w:r w:rsidRPr="002F6E3A">
        <w:rPr>
          <w:rFonts w:ascii="AvenirNext LT Pro Regular" w:hAnsi="AvenirNext LT Pro Regular" w:cs="Times New Roman"/>
          <w:sz w:val="22"/>
          <w:szCs w:val="22"/>
          <w:lang w:val="es-CL"/>
        </w:rPr>
        <w:t xml:space="preserve"> </w:t>
      </w:r>
      <w:r w:rsidR="00AF528D" w:rsidRPr="002F6E3A">
        <w:rPr>
          <w:rFonts w:ascii="AvenirNext LT Pro Regular" w:hAnsi="AvenirNext LT Pro Regular" w:cs="Times New Roman"/>
          <w:sz w:val="22"/>
          <w:szCs w:val="22"/>
          <w:lang w:val="es-CL"/>
        </w:rPr>
        <w:t>modifica el Capítulo 18-10 de la Recopilación Actualizada de Normas</w:t>
      </w:r>
      <w:r w:rsidR="001A73C0" w:rsidRPr="002F6E3A">
        <w:rPr>
          <w:rFonts w:ascii="AvenirNext LT Pro Regular" w:hAnsi="AvenirNext LT Pro Regular" w:cs="Times New Roman"/>
          <w:sz w:val="22"/>
          <w:szCs w:val="22"/>
          <w:lang w:val="es-CL"/>
        </w:rPr>
        <w:t xml:space="preserve">, aplicando a los bancos las disposiciones de la Norma de Carácter General </w:t>
      </w:r>
      <w:proofErr w:type="spellStart"/>
      <w:r w:rsidR="001A73C0" w:rsidRPr="002F6E3A">
        <w:rPr>
          <w:rFonts w:ascii="AvenirNext LT Pro Regular" w:hAnsi="AvenirNext LT Pro Regular" w:cs="Times New Roman"/>
          <w:sz w:val="22"/>
          <w:szCs w:val="22"/>
          <w:lang w:val="es-CL"/>
        </w:rPr>
        <w:t>N°</w:t>
      </w:r>
      <w:proofErr w:type="spellEnd"/>
      <w:r w:rsidR="001A73C0" w:rsidRPr="002F6E3A">
        <w:rPr>
          <w:rFonts w:ascii="AvenirNext LT Pro Regular" w:hAnsi="AvenirNext LT Pro Regular" w:cs="Times New Roman"/>
          <w:sz w:val="22"/>
          <w:szCs w:val="22"/>
          <w:lang w:val="es-CL"/>
        </w:rPr>
        <w:t xml:space="preserve"> 30 (“</w:t>
      </w:r>
      <w:r w:rsidR="001A73C0" w:rsidRPr="002F6E3A">
        <w:rPr>
          <w:rFonts w:ascii="AvenirNext LT Pro Regular" w:hAnsi="AvenirNext LT Pro Regular" w:cs="Times New Roman"/>
          <w:b/>
          <w:bCs/>
          <w:sz w:val="22"/>
          <w:szCs w:val="22"/>
          <w:lang w:val="es-CL"/>
        </w:rPr>
        <w:t>NCG 30</w:t>
      </w:r>
      <w:r w:rsidR="001A73C0" w:rsidRPr="002F6E3A">
        <w:rPr>
          <w:rFonts w:ascii="AvenirNext LT Pro Regular" w:hAnsi="AvenirNext LT Pro Regular" w:cs="Times New Roman"/>
          <w:sz w:val="22"/>
          <w:szCs w:val="22"/>
          <w:lang w:val="es-CL"/>
        </w:rPr>
        <w:t>”) en materia de envío de hecho esenciales, reservados e información de interés</w:t>
      </w:r>
      <w:r w:rsidR="00D61D5C" w:rsidRPr="002F6E3A">
        <w:rPr>
          <w:rFonts w:ascii="AvenirNext LT Pro Regular" w:hAnsi="AvenirNext LT Pro Regular" w:cs="Times New Roman"/>
          <w:sz w:val="22"/>
          <w:szCs w:val="22"/>
          <w:lang w:val="es-CL"/>
        </w:rPr>
        <w:t xml:space="preserve">. </w:t>
      </w:r>
      <w:r w:rsidR="001A73C0" w:rsidRPr="002F6E3A">
        <w:rPr>
          <w:rFonts w:ascii="AvenirNext LT Pro Regular" w:hAnsi="AvenirNext LT Pro Regular" w:cs="Times New Roman"/>
          <w:sz w:val="22"/>
          <w:szCs w:val="22"/>
          <w:lang w:val="es-CL"/>
        </w:rPr>
        <w:t>Adicionalmente, la NCG 516 modifica la NCG 30 incorporando nuevos ejemplos de hechos esenciales particularmente atingentes a los bancos</w:t>
      </w:r>
      <w:r w:rsidR="001D5195" w:rsidRPr="002F6E3A">
        <w:rPr>
          <w:rFonts w:ascii="AvenirNext LT Pro Regular" w:hAnsi="AvenirNext LT Pro Regular" w:cs="Times New Roman"/>
          <w:sz w:val="22"/>
          <w:szCs w:val="22"/>
          <w:lang w:val="es-CL"/>
        </w:rPr>
        <w:t>.</w:t>
      </w:r>
      <w:r w:rsidR="00D61D5C" w:rsidRPr="002F6E3A">
        <w:rPr>
          <w:rFonts w:ascii="AvenirNext LT Pro Regular" w:hAnsi="AvenirNext LT Pro Regular" w:cs="Times New Roman"/>
          <w:sz w:val="22"/>
          <w:szCs w:val="22"/>
          <w:lang w:val="es-CL"/>
        </w:rPr>
        <w:t xml:space="preserve"> </w:t>
      </w:r>
      <w:r w:rsidRPr="002F6E3A">
        <w:rPr>
          <w:rFonts w:ascii="AvenirNext LT Pro Regular" w:hAnsi="AvenirNext LT Pro Regular" w:cs="Times New Roman"/>
          <w:sz w:val="22"/>
          <w:szCs w:val="22"/>
          <w:lang w:val="es-CL"/>
        </w:rPr>
        <w:t>Esta norma</w:t>
      </w:r>
      <w:r w:rsidR="001A73C0" w:rsidRPr="002F6E3A">
        <w:rPr>
          <w:rFonts w:ascii="AvenirNext LT Pro Regular" w:hAnsi="AvenirNext LT Pro Regular" w:cs="Times New Roman"/>
          <w:sz w:val="22"/>
          <w:szCs w:val="22"/>
          <w:lang w:val="es-CL"/>
        </w:rPr>
        <w:t xml:space="preserve"> </w:t>
      </w:r>
      <w:proofErr w:type="gramStart"/>
      <w:r w:rsidR="001A73C0" w:rsidRPr="002F6E3A">
        <w:rPr>
          <w:rFonts w:ascii="AvenirNext LT Pro Regular" w:hAnsi="AvenirNext LT Pro Regular" w:cs="Times New Roman"/>
          <w:sz w:val="22"/>
          <w:szCs w:val="22"/>
          <w:lang w:val="es-CL"/>
        </w:rPr>
        <w:t>entrará en vigencia</w:t>
      </w:r>
      <w:proofErr w:type="gramEnd"/>
      <w:r w:rsidR="001A73C0" w:rsidRPr="002F6E3A">
        <w:rPr>
          <w:rFonts w:ascii="AvenirNext LT Pro Regular" w:hAnsi="AvenirNext LT Pro Regular" w:cs="Times New Roman"/>
          <w:sz w:val="22"/>
          <w:szCs w:val="22"/>
          <w:lang w:val="es-CL"/>
        </w:rPr>
        <w:t xml:space="preserve"> a contar del </w:t>
      </w:r>
      <w:r w:rsidR="001A76D2" w:rsidRPr="002F6E3A">
        <w:rPr>
          <w:rFonts w:ascii="AvenirNext LT Pro Regular" w:hAnsi="AvenirNext LT Pro Regular" w:cs="Times New Roman"/>
          <w:sz w:val="22"/>
          <w:szCs w:val="22"/>
          <w:lang w:val="es-CL"/>
        </w:rPr>
        <w:t xml:space="preserve">1 de septiembre de 2024. </w:t>
      </w:r>
    </w:p>
    <w:p w14:paraId="12360BD1" w14:textId="77777777" w:rsidR="005D5A7B" w:rsidRPr="002F6E3A" w:rsidRDefault="005D5A7B" w:rsidP="005D5A7B">
      <w:pPr>
        <w:pStyle w:val="Default"/>
        <w:spacing w:line="276" w:lineRule="auto"/>
        <w:jc w:val="both"/>
        <w:rPr>
          <w:rFonts w:ascii="AvenirNext LT Pro Regular" w:hAnsi="AvenirNext LT Pro Regular" w:cs="Times New Roman"/>
          <w:sz w:val="22"/>
          <w:szCs w:val="22"/>
          <w:lang w:val="es-CL"/>
        </w:rPr>
      </w:pPr>
    </w:p>
    <w:p w14:paraId="528ACDD9" w14:textId="08F6F4D1" w:rsidR="005D5A7B" w:rsidRPr="002F6E3A" w:rsidRDefault="00D61D5C" w:rsidP="00D61D5C">
      <w:pPr>
        <w:pStyle w:val="Default"/>
        <w:spacing w:line="276" w:lineRule="auto"/>
        <w:jc w:val="both"/>
        <w:rPr>
          <w:rFonts w:ascii="AvenirNext LT Pro Regular" w:hAnsi="AvenirNext LT Pro Regular" w:cs="Times New Roman"/>
          <w:sz w:val="22"/>
          <w:szCs w:val="22"/>
          <w:lang w:val="es-CL"/>
        </w:rPr>
      </w:pPr>
      <w:r w:rsidRPr="002F6E3A">
        <w:rPr>
          <w:rFonts w:ascii="AvenirNext LT Pro Regular" w:hAnsi="AvenirNext LT Pro Regular" w:cs="Times New Roman"/>
          <w:sz w:val="22"/>
          <w:szCs w:val="22"/>
          <w:lang w:val="es-CL"/>
        </w:rPr>
        <w:t xml:space="preserve">El texto de </w:t>
      </w:r>
      <w:r w:rsidR="001A73C0" w:rsidRPr="002F6E3A">
        <w:rPr>
          <w:rFonts w:ascii="AvenirNext LT Pro Regular" w:hAnsi="AvenirNext LT Pro Regular" w:cs="Times New Roman"/>
          <w:sz w:val="22"/>
          <w:szCs w:val="22"/>
          <w:lang w:val="es-CL"/>
        </w:rPr>
        <w:t xml:space="preserve">estas nuevas normas se encuentra disponible en los </w:t>
      </w:r>
      <w:r w:rsidR="001A76D2" w:rsidRPr="002F6E3A">
        <w:rPr>
          <w:rFonts w:ascii="AvenirNext LT Pro Regular" w:hAnsi="AvenirNext LT Pro Regular" w:cs="Times New Roman"/>
          <w:sz w:val="22"/>
          <w:szCs w:val="22"/>
          <w:lang w:val="es-CL"/>
        </w:rPr>
        <w:t>siguiente</w:t>
      </w:r>
      <w:r w:rsidR="001A73C0" w:rsidRPr="002F6E3A">
        <w:rPr>
          <w:rFonts w:ascii="AvenirNext LT Pro Regular" w:hAnsi="AvenirNext LT Pro Regular" w:cs="Times New Roman"/>
          <w:sz w:val="22"/>
          <w:szCs w:val="22"/>
          <w:lang w:val="es-CL"/>
        </w:rPr>
        <w:t>s</w:t>
      </w:r>
      <w:r w:rsidR="001A76D2" w:rsidRPr="002F6E3A">
        <w:rPr>
          <w:rFonts w:ascii="AvenirNext LT Pro Regular" w:hAnsi="AvenirNext LT Pro Regular" w:cs="Times New Roman"/>
          <w:sz w:val="22"/>
          <w:szCs w:val="22"/>
          <w:lang w:val="es-CL"/>
        </w:rPr>
        <w:t xml:space="preserve"> link</w:t>
      </w:r>
      <w:r w:rsidR="001A73C0" w:rsidRPr="002F6E3A">
        <w:rPr>
          <w:rFonts w:ascii="AvenirNext LT Pro Regular" w:hAnsi="AvenirNext LT Pro Regular" w:cs="Times New Roman"/>
          <w:sz w:val="22"/>
          <w:szCs w:val="22"/>
          <w:lang w:val="es-CL"/>
        </w:rPr>
        <w:t>s</w:t>
      </w:r>
      <w:r w:rsidR="001A76D2" w:rsidRPr="002F6E3A">
        <w:rPr>
          <w:rFonts w:ascii="AvenirNext LT Pro Regular" w:hAnsi="AvenirNext LT Pro Regular" w:cs="Times New Roman"/>
          <w:sz w:val="22"/>
          <w:szCs w:val="22"/>
          <w:lang w:val="es-CL"/>
        </w:rPr>
        <w:t xml:space="preserve">: </w:t>
      </w:r>
      <w:hyperlink r:id="rId7" w:history="1">
        <w:r w:rsidR="001A76D2" w:rsidRPr="002F6E3A">
          <w:rPr>
            <w:rStyle w:val="Hipervnculo"/>
            <w:rFonts w:ascii="AvenirNext LT Pro Regular" w:hAnsi="AvenirNext LT Pro Regular" w:cs="Times New Roman"/>
            <w:sz w:val="22"/>
            <w:szCs w:val="22"/>
            <w:lang w:val="es-CL"/>
          </w:rPr>
          <w:t>https://www.cmfchile.cl/normativa/ncg_516_2024.pdf</w:t>
        </w:r>
      </w:hyperlink>
      <w:r w:rsidR="001A76D2" w:rsidRPr="002F6E3A">
        <w:rPr>
          <w:rFonts w:ascii="AvenirNext LT Pro Regular" w:hAnsi="AvenirNext LT Pro Regular" w:cs="Times New Roman"/>
          <w:sz w:val="22"/>
          <w:szCs w:val="22"/>
          <w:lang w:val="es-CL"/>
        </w:rPr>
        <w:t xml:space="preserve"> </w:t>
      </w:r>
    </w:p>
    <w:p w14:paraId="4E209FE9" w14:textId="0B2F4841" w:rsidR="00D61D5C" w:rsidRPr="002F6E3A" w:rsidRDefault="002F6E3A" w:rsidP="00BB19C8">
      <w:pPr>
        <w:pStyle w:val="Default"/>
        <w:spacing w:line="276" w:lineRule="auto"/>
        <w:jc w:val="both"/>
        <w:rPr>
          <w:rFonts w:ascii="AvenirNext LT Pro Regular" w:hAnsi="AvenirNext LT Pro Regular" w:cs="Times New Roman"/>
          <w:sz w:val="22"/>
          <w:szCs w:val="22"/>
          <w:lang w:val="es-CL"/>
        </w:rPr>
      </w:pPr>
      <w:hyperlink r:id="rId8" w:history="1">
        <w:r w:rsidR="00BB19C8" w:rsidRPr="002F6E3A">
          <w:rPr>
            <w:rStyle w:val="Hipervnculo"/>
            <w:rFonts w:ascii="AvenirNext LT Pro Regular" w:hAnsi="AvenirNext LT Pro Regular" w:cs="Times New Roman"/>
            <w:sz w:val="22"/>
            <w:szCs w:val="22"/>
            <w:lang w:val="es-CL"/>
          </w:rPr>
          <w:t>https://www.cmfchile.cl/normativa/ncg_515_2024.pdf</w:t>
        </w:r>
      </w:hyperlink>
      <w:r w:rsidR="00BB19C8" w:rsidRPr="002F6E3A">
        <w:rPr>
          <w:rFonts w:ascii="AvenirNext LT Pro Regular" w:hAnsi="AvenirNext LT Pro Regular" w:cs="Times New Roman"/>
          <w:sz w:val="22"/>
          <w:szCs w:val="22"/>
          <w:lang w:val="es-CL"/>
        </w:rPr>
        <w:t>.</w:t>
      </w:r>
    </w:p>
    <w:p w14:paraId="27C1CDFA" w14:textId="77777777" w:rsidR="00BB19C8" w:rsidRPr="002F6E3A" w:rsidRDefault="00BB19C8" w:rsidP="00BB19C8">
      <w:pPr>
        <w:pStyle w:val="Default"/>
        <w:spacing w:line="276" w:lineRule="auto"/>
        <w:jc w:val="both"/>
        <w:rPr>
          <w:rFonts w:ascii="AvenirNext LT Pro Regular" w:hAnsi="AvenirNext LT Pro Regular" w:cs="Times New Roman"/>
          <w:sz w:val="22"/>
          <w:szCs w:val="22"/>
          <w:lang w:val="es-CL"/>
        </w:rPr>
      </w:pPr>
    </w:p>
    <w:p w14:paraId="61D4BFE0" w14:textId="67619227" w:rsidR="0062702E" w:rsidRPr="002F6E3A" w:rsidRDefault="0062702E" w:rsidP="00005A90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venirNext LT Pro Regular" w:hAnsi="AvenirNext LT Pro Regular"/>
          <w:bCs/>
          <w:sz w:val="22"/>
          <w:szCs w:val="22"/>
        </w:rPr>
      </w:pPr>
      <w:r w:rsidRPr="002F6E3A">
        <w:rPr>
          <w:rFonts w:ascii="AvenirNext LT Pro Regular" w:hAnsi="AvenirNext LT Pro Regular"/>
          <w:bCs/>
          <w:sz w:val="22"/>
          <w:szCs w:val="22"/>
        </w:rPr>
        <w:t xml:space="preserve">En caso de requerir más información </w:t>
      </w:r>
      <w:r w:rsidR="00C37ED0" w:rsidRPr="002F6E3A">
        <w:rPr>
          <w:rFonts w:ascii="AvenirNext LT Pro Regular" w:hAnsi="AvenirNext LT Pro Regular"/>
          <w:bCs/>
          <w:sz w:val="22"/>
          <w:szCs w:val="22"/>
        </w:rPr>
        <w:t xml:space="preserve">por favor </w:t>
      </w:r>
      <w:r w:rsidRPr="002F6E3A">
        <w:rPr>
          <w:rFonts w:ascii="AvenirNext LT Pro Regular" w:hAnsi="AvenirNext LT Pro Regular"/>
          <w:bCs/>
          <w:sz w:val="22"/>
          <w:szCs w:val="22"/>
        </w:rPr>
        <w:t xml:space="preserve">contactar a los </w:t>
      </w:r>
      <w:r w:rsidR="00C37ED0" w:rsidRPr="002F6E3A">
        <w:rPr>
          <w:rFonts w:ascii="AvenirNext LT Pro Regular" w:hAnsi="AvenirNext LT Pro Regular"/>
          <w:bCs/>
          <w:sz w:val="22"/>
          <w:szCs w:val="22"/>
        </w:rPr>
        <w:t xml:space="preserve">socios </w:t>
      </w:r>
      <w:r w:rsidRPr="002F6E3A">
        <w:rPr>
          <w:rFonts w:ascii="AvenirNext LT Pro Regular" w:hAnsi="AvenirNext LT Pro Regular"/>
          <w:bCs/>
          <w:sz w:val="22"/>
          <w:szCs w:val="22"/>
        </w:rPr>
        <w:t>José Miguel Carvajal (</w:t>
      </w:r>
      <w:hyperlink r:id="rId9" w:history="1">
        <w:r w:rsidRPr="002F6E3A">
          <w:rPr>
            <w:rStyle w:val="Hipervnculo"/>
            <w:rFonts w:ascii="AvenirNext LT Pro Regular" w:eastAsiaTheme="majorEastAsia" w:hAnsi="AvenirNext LT Pro Regular"/>
            <w:bCs/>
            <w:sz w:val="22"/>
            <w:szCs w:val="22"/>
          </w:rPr>
          <w:t>jmcarvajal@moralesybesa.cl</w:t>
        </w:r>
      </w:hyperlink>
      <w:r w:rsidRPr="002F6E3A">
        <w:rPr>
          <w:rFonts w:ascii="AvenirNext LT Pro Regular" w:hAnsi="AvenirNext LT Pro Regular"/>
          <w:bCs/>
          <w:sz w:val="22"/>
          <w:szCs w:val="22"/>
        </w:rPr>
        <w:t>) o Andrea Díaz (</w:t>
      </w:r>
      <w:hyperlink r:id="rId10" w:history="1">
        <w:r w:rsidRPr="002F6E3A">
          <w:rPr>
            <w:rStyle w:val="Hipervnculo"/>
            <w:rFonts w:ascii="AvenirNext LT Pro Regular" w:eastAsiaTheme="majorEastAsia" w:hAnsi="AvenirNext LT Pro Regular"/>
            <w:bCs/>
            <w:sz w:val="22"/>
            <w:szCs w:val="22"/>
          </w:rPr>
          <w:t>adiaz@moralesybesa.cl</w:t>
        </w:r>
      </w:hyperlink>
      <w:r w:rsidRPr="002F6E3A">
        <w:rPr>
          <w:rFonts w:ascii="AvenirNext LT Pro Regular" w:hAnsi="AvenirNext LT Pro Regular"/>
          <w:bCs/>
          <w:sz w:val="22"/>
          <w:szCs w:val="22"/>
        </w:rPr>
        <w:t>).</w:t>
      </w:r>
    </w:p>
    <w:sectPr w:rsidR="0062702E" w:rsidRPr="002F6E3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229CB" w14:textId="77777777" w:rsidR="001D5195" w:rsidRDefault="001D5195" w:rsidP="001D5195">
      <w:pPr>
        <w:spacing w:after="0" w:line="240" w:lineRule="auto"/>
      </w:pPr>
      <w:r>
        <w:separator/>
      </w:r>
    </w:p>
  </w:endnote>
  <w:endnote w:type="continuationSeparator" w:id="0">
    <w:p w14:paraId="2F1986CF" w14:textId="77777777" w:rsidR="001D5195" w:rsidRDefault="001D5195" w:rsidP="001D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venirNext LT Pro Bol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B67DF" w14:textId="77777777" w:rsidR="001D5195" w:rsidRDefault="001D5195" w:rsidP="001D5195">
      <w:pPr>
        <w:spacing w:after="0" w:line="240" w:lineRule="auto"/>
      </w:pPr>
      <w:r>
        <w:separator/>
      </w:r>
    </w:p>
  </w:footnote>
  <w:footnote w:type="continuationSeparator" w:id="0">
    <w:p w14:paraId="7C19BEDF" w14:textId="77777777" w:rsidR="001D5195" w:rsidRDefault="001D5195" w:rsidP="001D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36296" w14:textId="51E57EEF" w:rsidR="002F6E3A" w:rsidRPr="002F6E3A" w:rsidRDefault="002F6E3A" w:rsidP="002F6E3A">
    <w:pPr>
      <w:pStyle w:val="Encabezado"/>
      <w:ind w:right="-660"/>
      <w:jc w:val="right"/>
      <w:rPr>
        <w:rFonts w:ascii="AvenirNext LT Pro Regular" w:eastAsia="Calibri" w:hAnsi="AvenirNext LT Pro Regular" w:cs="Arial"/>
        <w:color w:val="595959"/>
        <w:kern w:val="0"/>
        <w:sz w:val="20"/>
        <w:lang w:val="es-CL"/>
        <w14:ligatures w14:val="none"/>
      </w:rPr>
    </w:pPr>
    <w:r w:rsidRPr="002F6E3A">
      <w:rPr>
        <w:rFonts w:ascii="AvenirNext LT Pro Regular" w:eastAsia="Calibri" w:hAnsi="AvenirNext LT Pro Regular" w:cs="Arial"/>
        <w:noProof/>
        <w:color w:val="595959"/>
        <w:kern w:val="0"/>
        <w:sz w:val="20"/>
        <w:lang w:val="es-CL" w:eastAsia="es-CL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E502A" wp14:editId="61E77087">
              <wp:simplePos x="0" y="0"/>
              <wp:positionH relativeFrom="column">
                <wp:posOffset>-895350</wp:posOffset>
              </wp:positionH>
              <wp:positionV relativeFrom="paragraph">
                <wp:posOffset>25400</wp:posOffset>
              </wp:positionV>
              <wp:extent cx="448945" cy="118110"/>
              <wp:effectExtent l="0" t="0" r="0" b="0"/>
              <wp:wrapNone/>
              <wp:docPr id="29" name="Rectángul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945" cy="118110"/>
                      </a:xfrm>
                      <a:prstGeom prst="rect">
                        <a:avLst/>
                      </a:prstGeom>
                      <a:solidFill>
                        <a:srgbClr val="00A3E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D56027" id="Rectángulo 29" o:spid="_x0000_s1026" style="position:absolute;margin-left:-70.5pt;margin-top:2pt;width:35.35pt;height: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" fillcolor="#00a3e0" stroked="f" strokeweight="1pt"/>
          </w:pict>
        </mc:Fallback>
      </mc:AlternateContent>
    </w:r>
    <w:r w:rsidRPr="002F6E3A">
      <w:rPr>
        <w:rFonts w:ascii="AvenirNext LT Pro Regular" w:eastAsia="Calibri" w:hAnsi="AvenirNext LT Pro Regular" w:cs="Arial"/>
        <w:noProof/>
        <w:color w:val="595959"/>
        <w:kern w:val="0"/>
        <w:sz w:val="20"/>
        <w:lang w:val="es-CL" w:eastAsia="es-CL"/>
        <w14:ligatures w14:val="none"/>
      </w:rPr>
      <w:drawing>
        <wp:anchor distT="0" distB="0" distL="114300" distR="114300" simplePos="0" relativeHeight="251660288" behindDoc="0" locked="0" layoutInCell="1" allowOverlap="1" wp14:anchorId="6F37D5E1" wp14:editId="02FA49F4">
          <wp:simplePos x="0" y="0"/>
          <wp:positionH relativeFrom="column">
            <wp:posOffset>-279400</wp:posOffset>
          </wp:positionH>
          <wp:positionV relativeFrom="paragraph">
            <wp:posOffset>9525</wp:posOffset>
          </wp:positionV>
          <wp:extent cx="1597966" cy="123479"/>
          <wp:effectExtent l="0" t="0" r="2540" b="3810"/>
          <wp:wrapNone/>
          <wp:docPr id="30" name="Gráfico 26">
            <a:extLst xmlns:a="http://schemas.openxmlformats.org/drawingml/2006/main">
              <a:ext uri="{FF2B5EF4-FFF2-40B4-BE49-F238E27FC236}">
                <a16:creationId xmlns:a16="http://schemas.microsoft.com/office/drawing/2014/main" id="{3F237CAE-65E9-2D4E-9087-81D64D2B68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áfico 26">
                    <a:extLst>
                      <a:ext uri="{FF2B5EF4-FFF2-40B4-BE49-F238E27FC236}">
                        <a16:creationId xmlns:a16="http://schemas.microsoft.com/office/drawing/2014/main" id="{3F237CAE-65E9-2D4E-9087-81D64D2B683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966" cy="123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venirNext LT Pro Regular" w:eastAsia="Calibri" w:hAnsi="AvenirNext LT Pro Regular" w:cs="Arial"/>
        <w:color w:val="595959"/>
        <w:kern w:val="0"/>
        <w:sz w:val="20"/>
        <w:lang w:val="es-CL"/>
        <w14:ligatures w14:val="none"/>
      </w:rPr>
      <w:t>Alerta Legal Mercado de Capitales | Julio 2024</w:t>
    </w:r>
  </w:p>
  <w:p w14:paraId="12C2A3AA" w14:textId="4C711137" w:rsidR="001D5195" w:rsidRPr="001D5195" w:rsidRDefault="001D5195">
    <w:pPr>
      <w:pStyle w:val="Encabezado"/>
      <w:rPr>
        <w:rFonts w:ascii="Times New Roman" w:hAnsi="Times New Roman" w:cs="Times New Roman"/>
        <w:bCs/>
        <w:color w:val="00A2DF"/>
        <w:w w:val="95"/>
        <w:sz w:val="28"/>
        <w:szCs w:val="24"/>
        <w:lang w:val="es-CL"/>
      </w:rPr>
    </w:pPr>
    <w:r>
      <w:rPr>
        <w:rFonts w:ascii="Times New Roman" w:hAnsi="Times New Roman" w:cs="Times New Roman"/>
        <w:bCs/>
        <w:color w:val="00A2DF"/>
        <w:w w:val="95"/>
        <w:sz w:val="28"/>
        <w:szCs w:val="24"/>
        <w:lang w:val="es-CL"/>
      </w:rPr>
      <w:tab/>
    </w:r>
    <w:r w:rsidRPr="001D5195">
      <w:rPr>
        <w:rFonts w:ascii="Times New Roman" w:hAnsi="Times New Roman" w:cs="Times New Roman"/>
        <w:bCs/>
        <w:color w:val="00A2DF"/>
        <w:w w:val="95"/>
        <w:sz w:val="28"/>
        <w:szCs w:val="24"/>
        <w:lang w:val="es-CL"/>
      </w:rPr>
      <w:t xml:space="preserve">        </w:t>
    </w:r>
    <w:r w:rsidRPr="001D5195">
      <w:rPr>
        <w:rFonts w:ascii="Times New Roman" w:hAnsi="Times New Roman" w:cs="Times New Roman"/>
        <w:sz w:val="28"/>
        <w:szCs w:val="24"/>
        <w:lang w:val="es-CL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8D"/>
    <w:rsid w:val="00005A90"/>
    <w:rsid w:val="000A603C"/>
    <w:rsid w:val="000A72AE"/>
    <w:rsid w:val="001552D0"/>
    <w:rsid w:val="001A73C0"/>
    <w:rsid w:val="001A76D2"/>
    <w:rsid w:val="001D5195"/>
    <w:rsid w:val="001F199B"/>
    <w:rsid w:val="002056DD"/>
    <w:rsid w:val="00263460"/>
    <w:rsid w:val="00282710"/>
    <w:rsid w:val="002A349D"/>
    <w:rsid w:val="002C2CA7"/>
    <w:rsid w:val="002F6E3A"/>
    <w:rsid w:val="003879D2"/>
    <w:rsid w:val="003A7BD3"/>
    <w:rsid w:val="004E2CB7"/>
    <w:rsid w:val="00515C79"/>
    <w:rsid w:val="005C7834"/>
    <w:rsid w:val="005D5A7B"/>
    <w:rsid w:val="0062702E"/>
    <w:rsid w:val="00720165"/>
    <w:rsid w:val="0072632D"/>
    <w:rsid w:val="00821EA8"/>
    <w:rsid w:val="00884906"/>
    <w:rsid w:val="008C075D"/>
    <w:rsid w:val="00912383"/>
    <w:rsid w:val="00991EE5"/>
    <w:rsid w:val="00A03652"/>
    <w:rsid w:val="00A70302"/>
    <w:rsid w:val="00AF528D"/>
    <w:rsid w:val="00AF531D"/>
    <w:rsid w:val="00B95616"/>
    <w:rsid w:val="00BA0A6B"/>
    <w:rsid w:val="00BB19C8"/>
    <w:rsid w:val="00C26D4D"/>
    <w:rsid w:val="00C364E9"/>
    <w:rsid w:val="00C37ED0"/>
    <w:rsid w:val="00C46423"/>
    <w:rsid w:val="00CD7E5F"/>
    <w:rsid w:val="00CF4C6D"/>
    <w:rsid w:val="00D61D5C"/>
    <w:rsid w:val="00D936EC"/>
    <w:rsid w:val="00DA1C02"/>
    <w:rsid w:val="00DA71B0"/>
    <w:rsid w:val="00E9131B"/>
    <w:rsid w:val="00F2605B"/>
    <w:rsid w:val="00F442D4"/>
    <w:rsid w:val="00FE0D0A"/>
    <w:rsid w:val="00F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44D129"/>
  <w15:chartTrackingRefBased/>
  <w15:docId w15:val="{87C50D7D-4F96-4101-88DA-AC8D6280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5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5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52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5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52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5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5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5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5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5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5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52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52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52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52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52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52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52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5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5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5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5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5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52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52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52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5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52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528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D5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195"/>
  </w:style>
  <w:style w:type="paragraph" w:styleId="Piedepgina">
    <w:name w:val="footer"/>
    <w:basedOn w:val="Normal"/>
    <w:link w:val="PiedepginaCar"/>
    <w:uiPriority w:val="99"/>
    <w:unhideWhenUsed/>
    <w:rsid w:val="001D5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195"/>
  </w:style>
  <w:style w:type="character" w:styleId="Hipervnculo">
    <w:name w:val="Hyperlink"/>
    <w:basedOn w:val="Fuentedeprrafopredeter"/>
    <w:uiPriority w:val="99"/>
    <w:unhideWhenUsed/>
    <w:rsid w:val="001A76D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76D2"/>
    <w:rPr>
      <w:color w:val="605E5C"/>
      <w:shd w:val="clear" w:color="auto" w:fill="E1DFDD"/>
    </w:rPr>
  </w:style>
  <w:style w:type="paragraph" w:customStyle="1" w:styleId="Default">
    <w:name w:val="Default"/>
    <w:rsid w:val="002C2CA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27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CL" w:eastAsia="es-CL"/>
      <w14:ligatures w14:val="none"/>
    </w:rPr>
  </w:style>
  <w:style w:type="paragraph" w:styleId="Revisin">
    <w:name w:val="Revision"/>
    <w:hidden/>
    <w:uiPriority w:val="99"/>
    <w:semiHidden/>
    <w:rsid w:val="00726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fchile.cl/normativa/ncg_515_202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mfchile.cl/normativa/ncg_516_2024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diaz@moralesybesa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mcarvajal@moralesybesa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31BC1-04E4-4FDB-B897-68444877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1909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Martin G.</dc:creator>
  <cp:keywords/>
  <dc:description/>
  <cp:lastModifiedBy>Catalina Diaz L.</cp:lastModifiedBy>
  <cp:revision>2</cp:revision>
  <dcterms:created xsi:type="dcterms:W3CDTF">2024-07-29T20:18:00Z</dcterms:created>
  <dcterms:modified xsi:type="dcterms:W3CDTF">2024-07-29T20:18:00Z</dcterms:modified>
</cp:coreProperties>
</file>